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b w:val="1"/>
          <w:bCs w:val="1"/>
        </w:rPr>
        <w:t xml:space="preserve">Протокол</w:t>
      </w:r>
    </w:p>
    <w:p>
      <w:pPr>
        <w:jc w:val="center"/>
        <w:spacing w:after="0"/>
      </w:pPr>
      <w:r>
        <w:rPr>
          <w:b w:val="1"/>
          <w:bCs w:val="1"/>
        </w:rPr>
        <w:t xml:space="preserve">подведения итогов процедуры</w:t>
      </w:r>
    </w:p>
    <w:p>
      <w:pPr>
        <w:jc w:val="center"/>
        <w:spacing w:after="0"/>
      </w:pPr>
      <w:r>
        <w:rPr>
          <w:b w:val="1"/>
          <w:bCs w:val="1"/>
        </w:rPr>
        <w:t xml:space="preserve">32615947635</w:t>
      </w:r>
    </w:p>
    <w:tbl>
      <w:tblGrid>
        <w:gridCol w:w="5000" w:type="dxa"/>
        <w:gridCol w:w="5000" w:type="dxa"/>
      </w:tblGrid>
      <w:tr>
        <w:trPr/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</w:tcPr>
          <w:p>
            <w:pPr>
              <w:jc w:val="right"/>
            </w:pPr>
            <w:r>
              <w:rPr/>
              <w:t xml:space="preserve">«30» апреля 2026г.</w:t>
            </w:r>
          </w:p>
        </w:tc>
      </w:tr>
    </w:tbl>
    <w:p>
      <w:pPr/>
      <w:r>
        <w:rPr>
          <w:b w:val="1"/>
          <w:bCs w:val="1"/>
        </w:rPr>
        <w:t xml:space="preserve">Организатором является: </w:t>
      </w:r>
      <w:r>
        <w:rPr>
          <w:b w:val="0"/>
          <w:bCs w:val="0"/>
        </w:rPr>
        <w:t xml:space="preserve">ОБЩЕСТВО С ОГРАНИЧЕННОЙ ОТВЕТСТВЕННОСТЬЮ "СИБИРСКИЕ ЭЛЕКТРОСЕТИ"</w:t>
      </w:r>
      <w:br/>
      <w:r>
        <w:rPr>
          <w:b w:val="1"/>
          <w:bCs w:val="1"/>
        </w:rPr>
        <w:t xml:space="preserve">Заказчиком является: </w:t>
      </w:r>
      <w:r>
        <w:rPr>
          <w:b w:val="0"/>
          <w:bCs w:val="0"/>
        </w:rPr>
        <w:t xml:space="preserve">ОБЩЕСТВО С ОГРАНИЧЕННОЙ ОТВЕТСТВЕННОСТЬЮ "СИБИРСКИЕ ЭЛЕКТРОСЕТИ"</w:t>
      </w:r>
    </w:p>
    <w:p/>
    <w:p>
      <w:pPr/>
      <w:r>
        <w:rPr>
          <w:b w:val="1"/>
          <w:bCs w:val="1"/>
        </w:rPr>
        <w:t xml:space="preserve">Способ закупки ЭТП: </w:t>
      </w:r>
    </w:p>
    <w:p>
      <w:pPr/>
      <w:r>
        <w:rPr>
          <w:b w:val="0"/>
          <w:bCs w:val="0"/>
        </w:rPr>
        <w:t xml:space="preserve">Закупка с полки (закупка в электронном магазине)</w:t>
      </w:r>
    </w:p>
    <w:p/>
    <w:p>
      <w:pPr/>
      <w:r>
        <w:rPr>
          <w:b w:val="1"/>
          <w:bCs w:val="1"/>
        </w:rPr>
        <w:t xml:space="preserve">Способ закупки ЕИС: </w:t>
      </w:r>
    </w:p>
    <w:p>
      <w:pPr/>
      <w:r>
        <w:rPr>
          <w:b w:val="0"/>
          <w:bCs w:val="0"/>
        </w:rPr>
        <w:t xml:space="preserve">Ценовой запрос</w:t>
      </w:r>
    </w:p>
    <w:p>
      <w:pPr>
        <w:keepLines w:val="1"/>
        <w:spacing w:after="96"/>
        <w:numPr>
          <w:ilvl w:val="0"/>
          <w:numId w:val="4"/>
        </w:numPr>
      </w:pPr>
      <w:r>
        <w:rPr>
          <w:b w:val="1"/>
          <w:bCs w:val="1"/>
        </w:rPr>
        <w:t xml:space="preserve">Наименование процедуры: </w:t>
      </w:r>
      <w:r>
        <w:rPr>
          <w:b w:val="0"/>
          <w:bCs w:val="0"/>
        </w:rPr>
        <w:t xml:space="preserve">Выполнение проектно-изыскательских работ и строительно-монтажных работ (методом «под ключ») в рамках исполнения мероприятий, предусмотренных инвестиционной программой ООО «СИБЭЛС» на период 2026-2029 гг.».</w:t>
      </w:r>
    </w:p>
    <w:p>
      <w:pPr>
        <w:keepLines w:val="1"/>
        <w:spacing w:after="96"/>
        <w:numPr>
          <w:ilvl w:val="0"/>
          <w:numId w:val="4"/>
        </w:numPr>
      </w:pPr>
      <w:r>
        <w:rPr>
          <w:b w:val="1"/>
          <w:bCs w:val="1"/>
        </w:rPr>
        <w:t xml:space="preserve">Предмет договора лота: </w:t>
      </w:r>
      <w:r>
        <w:rPr>
          <w:b w:val="0"/>
          <w:bCs w:val="0"/>
        </w:rPr>
        <w:t xml:space="preserve">Выполнение проектно-изыскательских работ и строительно-монтажных работ (методом «под ключ») в рамках исполнения мероприятий, предусмотренных инвестиционной программой ООО «СИБЭЛС» на период 2026-2029 гг.».</w:t>
      </w:r>
    </w:p>
    <w:p>
      <w:pPr>
        <w:keepLines w:val="1"/>
        <w:spacing w:after="96"/>
        <w:numPr>
          <w:ilvl w:val="0"/>
          <w:numId w:val="4"/>
        </w:numPr>
      </w:pPr>
      <w:r>
        <w:rPr>
          <w:b w:val="1"/>
          <w:bCs w:val="1"/>
        </w:rPr>
        <w:t xml:space="preserve">Начальная (максимальная) цена договора, лота: </w:t>
      </w:r>
      <w:r>
        <w:rPr>
          <w:b w:val="0"/>
          <w:bCs w:val="0"/>
        </w:rPr>
        <w:t xml:space="preserve">2 241 359.60 (с учетом НДС) в валюте - Российский рубль </w:t>
      </w:r>
    </w:p>
    <w:p>
      <w:pPr>
        <w:keepLines w:val="1"/>
        <w:spacing w:after="96"/>
        <w:numPr>
          <w:ilvl w:val="0"/>
          <w:numId w:val="4"/>
        </w:numPr>
      </w:pPr>
      <w:r>
        <w:rPr>
          <w:b w:val="0"/>
          <w:bCs w:val="0"/>
        </w:rPr>
        <w:t xml:space="preserve">Рассмотрение документации и утверждение закупки путем проведения в период с 24.04.2026 по 30.04.2026 (завершение приема заявок 30.04.2026 в 11:30 (время московское)) способом закупки «Ценовой запрос» на Единой Электронной Торговой Площадке (ЕЭТП) https://corp.roseltorg.ru, Выполнение проектно-изыскательских работ и строительно-монтажных работ (методом «под ключ») в рамках исполнения мероприятий, предусмотренных инвестиционной программой ООО «СИБЭЛС» на период 2026-2029 гг.»..</w:t>
      </w:r>
      <w:br/>
      <w:br/>
      <w:r>
        <w:rPr>
          <w:b w:val="0"/>
          <w:bCs w:val="0"/>
        </w:rPr>
        <w:t xml:space="preserve">Процедура утверждения закупки проведена 24.04.2026 в 09:54 (московское время) по адресу: 630001, Новосибирская обл, г Новосибирск, Заельцовский р-н, ул Сухарная, д 96/2</w:t>
      </w:r>
    </w:p>
    <w:p>
      <w:pPr>
        <w:keepLines w:val="1"/>
        <w:spacing w:after="96"/>
        <w:numPr>
          <w:ilvl w:val="0"/>
          <w:numId w:val="4"/>
        </w:numPr>
      </w:pPr>
      <w:r>
        <w:rPr/>
        <w:t xml:space="preserve">Извещение о проведении настоящей процедуры и документация были размещены «24» апреля 2026г. на сайте АО «Единая электронная торговая площадка» (АО «ЕЭТП»), по адресу в сети «Интернет»: </w:t>
      </w:r>
      <w:hyperlink r:id="rId7" w:history="1">
        <w:r>
          <w:t xml:space="preserve">https://corp.roseltorg.ru</w:t>
        </w:r>
      </w:hyperlink>
    </w:p>
    <w:p>
      <w:pPr>
        <w:keepLines w:val="1"/>
        <w:spacing w:after="96"/>
        <w:numPr>
          <w:ilvl w:val="0"/>
          <w:numId w:val="4"/>
        </w:numPr>
      </w:pPr>
      <w:r>
        <w:rPr/>
        <w:t xml:space="preserve">Были рассмотрены заявки следующих участников процедуры:</w:t>
      </w:r>
    </w:p>
    <w:tbl>
      <w:tblGrid>
        <w:gridCol w:w="1750" w:type="dxa"/>
        <w:gridCol w:w="1750" w:type="dxa"/>
        <w:gridCol w:w="5250" w:type="dxa"/>
        <w:gridCol w:w="5250" w:type="dxa"/>
        <w:gridCol w:w="5250" w:type="dxa"/>
        <w:gridCol w:w="5250" w:type="dxa"/>
      </w:tblGrid>
      <w:tblPr>
        <w:tblStyle w:val="style87188"/>
      </w:tblPr>
      <w:tr>
        <w:trPr>
          <w:cantSplit w:val="1"/>
        </w:trPr>
        <w:tc>
          <w:tcPr>
            <w:tcW w:w="175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Номер заявки в лоте</w:t>
            </w:r>
          </w:p>
        </w:tc>
        <w:tc>
          <w:tcPr>
            <w:tcW w:w="175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Номер заявки</w:t>
            </w:r>
          </w:p>
        </w:tc>
        <w:tc>
          <w:tcPr>
            <w:tcW w:w="525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Наименование участника</w:t>
            </w:r>
          </w:p>
        </w:tc>
        <w:tc>
          <w:tcPr>
            <w:tcW w:w="525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Дата и время регистрации заявок (МСК)</w:t>
            </w:r>
          </w:p>
        </w:tc>
        <w:tc>
          <w:tcPr>
            <w:tcW w:w="525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Результат рассмотрения</w:t>
            </w:r>
          </w:p>
        </w:tc>
        <w:tc>
          <w:tcPr>
            <w:tcW w:w="525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Основание для решения</w:t>
            </w:r>
          </w:p>
        </w:tc>
      </w:tr>
      <w:tr>
        <w:trPr>
          <w:cantSplit w:val="1"/>
        </w:trPr>
        <w:tc>
          <w:tcPr>
            <w:tcW w:w="175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1750" w:type="dxa"/>
          </w:tcPr>
          <w:p>
            <w:pPr>
              <w:jc w:val="center"/>
            </w:pPr>
            <w:r>
              <w:rPr/>
              <w:t xml:space="preserve">1450144860</w:t>
            </w:r>
          </w:p>
        </w:tc>
        <w:tc>
          <w:tcPr>
            <w:tcW w:w="5250" w:type="dxa"/>
          </w:tcPr>
          <w:p>
            <w:pPr>
              <w:jc w:val="center"/>
            </w:pPr>
            <w:r>
              <w:rPr/>
              <w:t xml:space="preserve">ОБЩЕСТВО С ОГРАНИЧЕННОЙ ОТВЕТСТВЕННОСТЬЮ "ПРОФЭНЕРДЖИ", 630005, НОВОСИБИРСКАЯ ОБЛАСТЬ, г.о. ГОРОД НОВОСИБИРСК, Г НОВОСИБИРСК, УЛ НЕКРАСОВА, Д. 39, ПОМЕЩ. 555, ИНН 5442103805, КПП 540601001, ОГРН 1195476084187</w:t>
            </w:r>
          </w:p>
        </w:tc>
        <w:tc>
          <w:tcPr>
            <w:tcW w:w="5250" w:type="dxa"/>
          </w:tcPr>
          <w:p>
            <w:pPr>
              <w:jc w:val="center"/>
            </w:pPr>
            <w:r>
              <w:rPr/>
              <w:t xml:space="preserve">30.04.2026 11:12:58</w:t>
            </w:r>
          </w:p>
        </w:tc>
        <w:tc>
          <w:tcPr>
            <w:tcW w:w="5250" w:type="dxa"/>
          </w:tcPr>
          <w:p>
            <w:pPr>
              <w:jc w:val="center"/>
            </w:pPr>
            <w:r>
              <w:rPr/>
              <w:t xml:space="preserve">Допущена</w:t>
            </w:r>
          </w:p>
        </w:tc>
        <w:tc>
          <w:tcPr>
            <w:tcW w:w="5250" w:type="dxa"/>
          </w:tcPr>
          <w:p>
            <w:pPr>
              <w:jc w:val="center"/>
            </w:pPr>
            <w:r>
              <w:rPr/>
              <w:t xml:space="preserve">Состав документов заявителя соответствует требованиям</w:t>
            </w:r>
          </w:p>
        </w:tc>
      </w:tr>
    </w:tbl>
    <w:p>
      <w:pPr/>
      <w:r>
        <w:rPr/>
        <w:t xml:space="preserve">Для участия в процедуре было подано 1 заявка от участников, не допущено 0 заявок, место не присвоено 0 заявок.</w:t>
      </w:r>
    </w:p>
    <w:p>
      <w:pPr>
        <w:spacing w:line="120" w:lineRule="auto"/>
      </w:pPr>
      <w:r>
        <w:rPr/>
        <w:t xml:space="preserve"/>
      </w:r>
    </w:p>
    <w:p>
      <w:pPr>
        <w:keepLines w:val="1"/>
        <w:spacing w:after="96"/>
        <w:numPr>
          <w:ilvl w:val="0"/>
          <w:numId w:val="4"/>
        </w:numPr>
      </w:pPr>
      <w:r>
        <w:rPr/>
        <w:t xml:space="preserve">Сопоставление ценовых предложений допущенных участников процедуры:</w:t>
      </w:r>
    </w:p>
    <w:tbl>
      <w:tblGrid>
        <w:gridCol w:w="1600" w:type="dxa"/>
        <w:gridCol w:w="5000" w:type="dxa"/>
        <w:gridCol w:w="5000" w:type="dxa"/>
        <w:gridCol w:w="5000" w:type="dxa"/>
        <w:gridCol w:w="5000" w:type="dxa"/>
      </w:tblGrid>
      <w:tblPr>
        <w:tblStyle w:val="style24218"/>
      </w:tblPr>
      <w:tr>
        <w:trPr>
          <w:cantSplit w:val="1"/>
        </w:trPr>
        <w:tc>
          <w:tcPr>
            <w:tcW w:w="16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Порядковый номер заявки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Наименование участника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Ценовое предложение без НДС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Ценовое предложение с НДС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Ставка НДС</w:t>
            </w:r>
          </w:p>
        </w:tc>
      </w:tr>
      <w:tr>
        <w:trPr>
          <w:cantSplit w:val="1"/>
        </w:trPr>
        <w:tc>
          <w:tcPr>
            <w:tcW w:w="1600" w:type="dxa"/>
          </w:tcPr>
          <w:p>
            <w:pPr>
              <w:jc w:val="center"/>
            </w:pPr>
            <w:r>
              <w:rPr/>
              <w:t xml:space="preserve">1450144860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/>
              <w:t xml:space="preserve">ОБЩЕСТВО С ОГРАНИЧЕННОЙ ОТВЕТСТВЕННОСТЬЮ "ПРОФЭНЕРДЖИ", 630005, НОВОСИБИРСКАЯ ОБЛАСТЬ, г.о. ГОРОД НОВОСИБИРСК, Г НОВОСИБИРСК, УЛ НЕКРАСОВА, Д. 39, ПОМЕЩ. 555, ИНН 5442103805, КПП 540601001, ОГРН 1195476084187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/>
              <w:t xml:space="preserve">1 837 179.51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/>
              <w:t xml:space="preserve">2 241 359.00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/>
              <w:t xml:space="preserve">22%</w:t>
            </w:r>
          </w:p>
        </w:tc>
      </w:tr>
    </w:tbl>
    <w:p>
      <w:pPr>
        <w:spacing w:line="120" w:lineRule="auto"/>
      </w:pPr>
      <w:r>
        <w:rPr/>
        <w:t xml:space="preserve"/>
      </w:r>
    </w:p>
    <w:p>
      <w:pPr>
        <w:keepLines w:val="1"/>
        <w:spacing w:after="96"/>
        <w:numPr>
          <w:ilvl w:val="0"/>
          <w:numId w:val="4"/>
        </w:numPr>
      </w:pPr>
      <w:r>
        <w:rPr/>
        <w:t xml:space="preserve">Комиссия рассмотрела заявки участников, а также содержащиеся в реестре участников процедур, получивших аккредитацию на электронной площадке, сведения об участниках, подавших данные заявки, и приняла следующее решение:</w:t>
      </w:r>
    </w:p>
    <w:tbl>
      <w:tblGrid>
        <w:gridCol w:w="1600" w:type="dxa"/>
        <w:gridCol w:w="5000" w:type="dxa"/>
        <w:gridCol w:w="1600" w:type="dxa"/>
        <w:gridCol w:w="1600" w:type="dxa"/>
        <w:gridCol w:w="1600" w:type="dxa"/>
        <w:gridCol w:w="1600" w:type="dxa"/>
      </w:tblGrid>
      <w:tblPr>
        <w:tblStyle w:val="style27268"/>
      </w:tblPr>
      <w:tr>
        <w:trPr>
          <w:cantSplit w:val="1"/>
        </w:trPr>
        <w:tc>
          <w:tcPr>
            <w:tcW w:w="16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Порядковый номер заявки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Наименование участника</w:t>
            </w:r>
          </w:p>
        </w:tc>
        <w:tc>
          <w:tcPr>
            <w:tcW w:w="16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Ценовое предложение без НДС</w:t>
            </w:r>
          </w:p>
        </w:tc>
        <w:tc>
          <w:tcPr>
            <w:tcW w:w="16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Ценовое предложение с НДС</w:t>
            </w:r>
          </w:p>
        </w:tc>
        <w:tc>
          <w:tcPr>
            <w:tcW w:w="16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Ставка НДС</w:t>
            </w:r>
          </w:p>
        </w:tc>
        <w:tc>
          <w:tcPr>
            <w:tcW w:w="16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Место заявки</w:t>
            </w:r>
          </w:p>
        </w:tc>
      </w:tr>
      <w:tr>
        <w:trPr>
          <w:cantSplit w:val="1"/>
        </w:trPr>
        <w:tc>
          <w:tcPr>
            <w:tcW w:w="1600" w:type="dxa"/>
          </w:tcPr>
          <w:p>
            <w:pPr>
              <w:jc w:val="center"/>
            </w:pPr>
            <w:r>
              <w:rPr/>
              <w:t xml:space="preserve">1450144860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/>
              <w:t xml:space="preserve">ОБЩЕСТВО С ОГРАНИЧЕННОЙ ОТВЕТСТВЕННОСТЬЮ "ПРОФЭНЕРДЖИ", 630005, НОВОСИБИРСКАЯ ОБЛАСТЬ, г.о. ГОРОД НОВОСИБИРСК, Г НОВОСИБИРСК, УЛ НЕКРАСОВА, Д. 39, ПОМЕЩ. 555, ИНН 5442103805, КПП 540601001, ОГРН 1195476084187</w:t>
            </w:r>
          </w:p>
        </w:tc>
        <w:tc>
          <w:tcPr>
            <w:tcW w:w="1600" w:type="dxa"/>
          </w:tcPr>
          <w:p>
            <w:pPr>
              <w:jc w:val="center"/>
            </w:pPr>
            <w:r>
              <w:rPr/>
              <w:t xml:space="preserve">1 837 179.51</w:t>
            </w:r>
          </w:p>
        </w:tc>
        <w:tc>
          <w:tcPr>
            <w:tcW w:w="1600" w:type="dxa"/>
          </w:tcPr>
          <w:p>
            <w:pPr>
              <w:jc w:val="center"/>
            </w:pPr>
            <w:r>
              <w:rPr/>
              <w:t xml:space="preserve">2 241 359.00</w:t>
            </w:r>
          </w:p>
        </w:tc>
        <w:tc>
          <w:tcPr>
            <w:tcW w:w="1600" w:type="dxa"/>
          </w:tcPr>
          <w:p>
            <w:pPr>
              <w:jc w:val="center"/>
            </w:pPr>
            <w:r>
              <w:rPr/>
              <w:t xml:space="preserve">22%</w:t>
            </w:r>
          </w:p>
        </w:tc>
        <w:tc>
          <w:tcPr>
            <w:tcW w:w="16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>
        <w:spacing w:line="120" w:lineRule="auto"/>
      </w:pPr>
      <w:r>
        <w:rPr/>
        <w:t xml:space="preserve"/>
      </w:r>
    </w:p>
    <w:p>
      <w:pPr>
        <w:keepLines w:val="1"/>
        <w:spacing w:after="96"/>
        <w:numPr>
          <w:ilvl w:val="0"/>
          <w:numId w:val="4"/>
        </w:numPr>
      </w:pPr>
      <w:r>
        <w:rPr/>
        <w:t xml:space="preserve">Сведения о комиссии: Без комиссии</w:t>
      </w:r>
    </w:p>
    <w:p>
      <w:pPr>
        <w:keepLines w:val="1"/>
        <w:spacing w:after="96"/>
        <w:numPr>
          <w:ilvl w:val="0"/>
          <w:numId w:val="4"/>
        </w:numPr>
      </w:pPr>
      <w:r>
        <w:rPr/>
        <w:t xml:space="preserve">Сведения о решении членов комиссии по каждой заявке: Без комиссии</w:t>
      </w:r>
    </w:p>
    <w:p>
      <w:pPr>
        <w:keepLines w:val="1"/>
        <w:spacing w:after="96"/>
        <w:numPr>
          <w:ilvl w:val="0"/>
          <w:numId w:val="4"/>
        </w:numPr>
      </w:pPr>
      <w:r>
        <w:rPr/>
        <w:t xml:space="preserve">По результатам подведения итогов принято решение заключить договор с ОБЩЕСТВО С ОГРАНИЧЕННОЙ ОТВЕТСТВЕННОСТЬЮ "ПРОФЭНЕРДЖИ"</w:t>
      </w:r>
    </w:p>
    <w:p>
      <w:pPr>
        <w:keepLines w:val="1"/>
        <w:spacing w:after="96"/>
        <w:numPr>
          <w:ilvl w:val="0"/>
          <w:numId w:val="4"/>
        </w:numPr>
      </w:pPr>
      <w:r>
        <w:rPr/>
        <w:t xml:space="preserve">Договор заключается на условиях, предусмотренных документацией о проведении процедуры, по начальной цене договора, указанной в извещении о проведении процедуры, или по цене договора, согласованной с участником процедуры.</w:t>
      </w:r>
    </w:p>
    <w:p>
      <w:pPr>
        <w:spacing w:line="480" w:lineRule="auto"/>
      </w:pPr>
      <w:r>
        <w:rPr/>
        <w:t xml:space="preserve"/>
      </w:r>
    </w:p>
    <w:sectPr>
      <w:footerReference w:type="default" r:id="rId8"/>
      <w:pgSz w:orient="portrait" w:w="11905.511811023622" w:h="16837.79527559055"/>
      <w:pgMar w:top="1440" w:right="566.9291338582676" w:bottom="1440" w:left="1417.322834645669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8503.937007874016" w:type="dxa"/>
      <w:gridCol w:w="1417.3228346456694" w:type="dxa"/>
    </w:tblGrid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2" w:color="555555"/>
      </w:tblBorders>
    </w:tblPr>
    <w:tr>
      <w:trPr/>
      <w:tc>
        <w:tcPr>
          <w:tcW w:w="8503.937007874016" w:type="dxa"/>
        </w:tcPr>
        <w:p>
          <w:pPr>
            <w:jc w:val="left"/>
          </w:pPr>
          <w:r>
            <w:rPr/>
            <w:t xml:space="preserve">Протокол подведения итогов процедуры №32615947635 от 30.04.2026г.</w:t>
          </w:r>
        </w:p>
      </w:tc>
      <w:tc>
        <w:tcPr>
          <w:tcW w:w="1417.3228346456694" w:type="dxa"/>
        </w:tcPr>
        <w:p>
          <w:pPr>
            <w:jc w:val="right"/>
          </w:pPr>
          <w:r>
            <w:t xml:space="preserve">стр. 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D72B3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DA5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" w:hAnsi="" w:cs=""/>
      </w:rPr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>
        <w:rFonts w:ascii="" w:hAnsi="" w:cs=""/>
      </w:rPr>
    </w:lvl>
    <w:lvl w:ilvl="2">
      <w:start w:val="1"/>
      <w:numFmt w:val="decimal"/>
      <w:suff w:val="tab"/>
      <w:lvlText w:val="%1.%2.%3."/>
      <w:lvlJc w:val="left"/>
      <w:pPr>
        <w:tabs>
          <w:tab w:val="num" w:pos="1224"/>
        </w:tabs>
        <w:ind w:left="1224" w:hanging="504"/>
      </w:pPr>
      <w:rPr>
        <w:rFonts w:ascii="" w:hAnsi="" w:cs="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>
        <w:rFonts w:ascii="" w:hAnsi="" w:cs="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>
        <w:rFonts w:ascii="" w:hAnsi="" w:cs="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>
        <w:rFonts w:ascii="" w:hAnsi="" w:cs="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" w:hAnsi="" w:cs="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" w:hAnsi="" w:cs="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" w:hAnsi="" w:cs=""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myOwnStyle"/>
    <w:rPr>
      <w:b w:val="1"/>
      <w:bCs w:val="1"/>
    </w:rPr>
  </w:style>
  <w:style w:type="paragraph" w:customStyle="1" w:styleId="P-Style">
    <w:name w:val="P-Style"/>
    <w:basedOn w:val="Normal"/>
    <w:pPr>
      <w:keepLines w:val="1"/>
      <w:spacing w:after="96"/>
    </w:pPr>
  </w:style>
  <w:style w:type="table" w:customStyle="1" w:styleId="style87188">
    <w:name w:val="style87188"/>
    <w:uiPriority w:val="99"/>
    <w:tblPr>
      <w:tblW w:w="0" w:type="auto"/>
      <w:tblLayout w:type="autofit"/>
      <w:bidiVisual w:val="0"/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  <w:style w:type="table" w:customStyle="1" w:styleId="style24218">
    <w:name w:val="style24218"/>
    <w:uiPriority w:val="99"/>
    <w:tblPr>
      <w:tblW w:w="0" w:type="auto"/>
      <w:tblLayout w:type="autofit"/>
      <w:bidiVisual w:val="0"/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  <w:style w:type="table" w:customStyle="1" w:styleId="style27268">
    <w:name w:val="style27268"/>
    <w:uiPriority w:val="99"/>
    <w:tblPr>
      <w:tblW w:w="0" w:type="auto"/>
      <w:tblLayout w:type="autofit"/>
      <w:bidiVisual w:val="0"/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rp.roseltorg.ru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2026-04-30T12:59:39+03:00</dcterms:created>
  <dcterms:modified xsi:type="dcterms:W3CDTF">2026-04-30T12:59:39+03:00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